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0"/>
        <w:gridCol w:w="851"/>
        <w:gridCol w:w="852"/>
        <w:gridCol w:w="1020"/>
        <w:gridCol w:w="70"/>
        <w:gridCol w:w="674"/>
        <w:gridCol w:w="1202"/>
        <w:gridCol w:w="356"/>
        <w:gridCol w:w="1276"/>
        <w:gridCol w:w="245"/>
        <w:gridCol w:w="1171"/>
        <w:gridCol w:w="683"/>
        <w:gridCol w:w="25"/>
        <w:gridCol w:w="569"/>
        <w:gridCol w:w="1314"/>
      </w:tblGrid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5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Ortopedia i traumatologia narządu ruchu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stopnia, semestr IV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4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5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Znajomość z zakresu anatomii i fizjologii szeroko pojmowanego narządu ruchu.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>
                <w:i w:val="false"/>
                <w:iCs w:val="false"/>
              </w:rPr>
            </w:pPr>
            <w:r>
              <w:rPr>
                <w:i w:val="false"/>
                <w:iCs w:val="false"/>
                <w:sz w:val="20"/>
                <w:szCs w:val="20"/>
              </w:rPr>
              <w:t>Celem kształcenia jest zaznajomienie studentów z podstawami ortopedii i traumatologii narządu ruchu. Studenci zapoznawani są ze specyfiką obrażeń narządu ruchu u dorosłych i dzieci, postępowaniem na miejscu wypadku oraz metodami zaopatrywania złamań i transportu pacjenta do szpitala w określonych stanach klinicznych. Elementy traumatologii rozszerzone są o podstawy anatomii i fizjologii narządu ruchu na poziomie komórkowym, narządowym i ustrojowym, o elementy ograniczania bólu, o metody ambulatoryjnego i chirurgicznego zaopatrywania złamań, o problemy wynikające z niepełnosprawności, kalectwa i choroby przewlekłej.</w:t>
            </w:r>
          </w:p>
          <w:p>
            <w:pPr>
              <w:pStyle w:val="NormalWeb"/>
              <w:spacing w:beforeAutospacing="0" w:before="0" w:afterAutospacing="0" w:after="0"/>
              <w:jc w:val="both"/>
              <w:rPr>
                <w:i w:val="false"/>
                <w:iCs w:val="false"/>
              </w:rPr>
            </w:pPr>
            <w:r>
              <w:rPr>
                <w:i w:val="false"/>
                <w:iCs w:val="false"/>
                <w:sz w:val="20"/>
                <w:szCs w:val="20"/>
              </w:rPr>
              <w:t>Po zakończeniu zajęć student powinien skutecznie komunikować się i przeprowadzić wywiad z pacjentem, jego rodziną (opiekunem), świadkiem zdarzenia. Powinien ocenić stan świadomości pacjenta, rozpoznać stany nagłe, wyjaśnić istotę jego dolegliwości i uzasadnić decyzję o sposobie dalszego postępowania. Powinien posiąść umiejętność zaopatrywania ran, tamowania krwotoków zewnętrznych, unieruchamiania kończyn oraz stabilizacji i unieruchamiania kręgosłupa w zależności od ciężkości obrażeń przygotowując pacjenta do transportu i zapewnić mu opiekę podczas transportu.</w:t>
            </w:r>
          </w:p>
          <w:p>
            <w:pPr>
              <w:pStyle w:val="NormalWeb"/>
              <w:spacing w:beforeAutospacing="0" w:before="0" w:afterAutospacing="0" w:after="0"/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 w:val="false"/>
                <w:iCs w:val="false"/>
                <w:sz w:val="20"/>
                <w:szCs w:val="20"/>
              </w:rPr>
              <w:t>Student powinien posiąść umiejętność działania w warunkach stresu i niepewności i mieć świadomość własnych ograniczeń. Powinien stawiać dobro pacjenta na pierwszym miejscu, przestrzegać jego prawa i okazywać szacunek wobec pacjenta, jego różnic światopoglądowych i kulturowych jednocześnie dbając o bezpieczeństwo własne i współpracowników.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pokaz z instruktażem, pokaz z objaśnieniem, praca w grupach, rozwiązywanie zadania, analiza przypadków.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697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C.W8 problemy wynikające z niepełnosprawności i chorób przewlekłych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/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aktywność w trakcie zajęć, bieżąca kontrola na zajęciach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C.W17 mechanizmy prowadzące do nagłych zagrożeń zdrowia i życia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</w:t>
            </w:r>
            <w:r>
              <w:rPr>
                <w:rFonts w:ascii="Times New Roman" w:hAnsi="Times New Roman"/>
                <w:color w:val="111111"/>
                <w:sz w:val="20"/>
                <w:szCs w:val="20"/>
              </w:rPr>
              <w:t>20 skale oceny bólu i możliwości wdrożenia leczenia przeciwbólowego przez ratownika medycznego;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C.W67 przyczyny, objawy, zasady diagnozowania i postępowania terapeutycznego w najczęstszych chorobach wymagających interwencji chirurgicznej, z uwzględnieniem odrębności chorób wieku dziecięcego;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C.W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68</w:t>
            </w: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. wybrane zagadnienia z zakresu traumatologii dziecięcej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C.W73 procedury medyczne stosowane przez ratownika medycznego, w szczególności zaopatrywanie ran i oparzeń, tamowanie krwotoków, unieruchamianie złamań, zwichnięć i skręceń oraz unieruchamianie kręgosłupa, ze szczególnym uwzględnieniem odcinka szyjnego, a także podawanie leków;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C.W105 podstawowe techniki obrazowe;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90" w:hRule="atLeast"/>
        </w:trPr>
        <w:tc>
          <w:tcPr>
            <w:tcW w:w="266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C.U2 układać pacjenta do badania obrazowego;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sprawdzian praktyczny</w:t>
            </w:r>
          </w:p>
        </w:tc>
      </w:tr>
      <w:tr>
        <w:trPr>
          <w:trHeight w:val="390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C.U9 układać pacjenta w pozycji właściwej dla rodzaju choroby lub odniesionych obrażeń ciała;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66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C.U10 przeprowadzać badanie fizykalne pacjenta dorosłego w zakresie niezbędnym do ustalenia jego stanu;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272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C.U29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stosować leczenie przeciwbólowe;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8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widowControl w:val="false"/>
              <w:spacing w:lineRule="auto" w:line="240" w:before="0" w:after="120"/>
              <w:rPr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 xml:space="preserve">C.U30 </w:t>
            </w:r>
            <w:r>
              <w:rPr>
                <w:rFonts w:cs="Times New Roman" w:ascii="Times New Roman" w:hAnsi="Times New Roman"/>
                <w:sz w:val="20"/>
                <w:szCs w:val="20"/>
                <w:shd w:fill="auto" w:val="clear"/>
              </w:rPr>
              <w:t>oceniać stopień nasilenia bólu według znanych skal;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C.U37 wiązać obrazy uszkodzeń tkankowych i narządowych z objawami klinicznymi choroby;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90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C.U52 stabilizować i unieruchamiać kręgosłup;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111111"/>
                <w:sz w:val="20"/>
                <w:szCs w:val="20"/>
                <w:lang w:eastAsia="pl-PL"/>
              </w:rPr>
              <w:t>C.U54 stosować skale ciężkości obrażeń;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29" w:hRule="atLeast"/>
        </w:trPr>
        <w:tc>
          <w:tcPr>
            <w:tcW w:w="266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K.1. </w:t>
            </w:r>
            <w:r>
              <w:rPr>
                <w:rFonts w:ascii="Times New Roman" w:hAnsi="Times New Roman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306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K.2.</w:t>
            </w:r>
            <w:r>
              <w:rPr>
                <w:sz w:val="20"/>
                <w:szCs w:val="20"/>
              </w:rPr>
              <w:t xml:space="preserve"> d</w:t>
            </w:r>
            <w:r>
              <w:rPr>
                <w:rFonts w:ascii="Times New Roman" w:hAnsi="Times New Roman"/>
                <w:sz w:val="20"/>
                <w:szCs w:val="20"/>
              </w:rPr>
              <w:t>ostrzegania czynników wpływających na reakcje własne i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762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744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K.4.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04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K.5.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dostrzegania i rozpoznawania własnych ograniczeń, dokonywania samooceny deficytów i potrzeb edukacyjnych;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48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0"/>
                <w:szCs w:val="20"/>
                <w:lang w:eastAsia="pl-PL"/>
              </w:rPr>
              <w:t>Ogólna charakterystyka złamań i zwichnięć.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Transport pacjenta z obrażeniami narządu ruchu.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Obrażenia narządu ruchu spowodowane wybuchem i postrzałem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Amputacje i replantacje w ortopedii i traumatologii narządu ruchu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Charakterystyka narządu ruchu u dzieci, złamania wieku dziecięcego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Badanie ortopedyczne i terminologia stosowana w ortopedii 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Postępowanie w amputacjach urazowych – zabezpieczenie części amputowanych (amputatów) dla celów ewentualnej replantacji.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Demonstracja filmów i zdjęć fotograficznych z przebiegu wybranych operacji chirurgicznego zaopatrywania obrażeń narządu ruchu.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Unieruchomienia transportowe</w:t>
            </w:r>
          </w:p>
        </w:tc>
        <w:tc>
          <w:tcPr>
            <w:tcW w:w="1908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Zasady unieruchamiania złamań, unieruchomienia stosowane w traumatologii narządu ruchu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i/>
                <w:i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Obrażenia kończyny dolnej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Obrażenia kończyny górnej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Obrażenia kręgosłupa, zasady postępowania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Obrażenia miednicy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Specyfika złamań u osób starszych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Endoprotezy stawów, powikłania, leczenie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Nowoczesne zasady zaopatrywania złamań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Zasady unieruchamiania w ortopedii i traumatologii narządu ruchu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egzamin pisemny/ustny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tabs>
                <w:tab w:val="clear" w:pos="708"/>
                <w:tab w:val="left" w:pos="540" w:leader="none"/>
              </w:tabs>
              <w:spacing w:lineRule="auto" w:line="240" w:before="0" w:after="0"/>
              <w:ind w:hanging="360" w:left="373" w:right="1922"/>
              <w:contextualSpacing/>
              <w:rPr/>
            </w:pPr>
            <w:r>
              <w:rPr/>
              <w:t>Szulc A., Marciniak W., Wiktora Degi ortopedia i rehabilitacja, wyd. PZWL, 2008 i wznowienia. Kiwerski J., Kowalski M., Krasuski M., Schorzenia i urazy kręgosłupa, wyd. PZWL, 2003 i wznowienia.</w:t>
            </w:r>
          </w:p>
          <w:p>
            <w:pPr>
              <w:pStyle w:val="ListParagraph"/>
              <w:numPr>
                <w:ilvl w:val="0"/>
                <w:numId w:val="4"/>
              </w:numPr>
              <w:tabs>
                <w:tab w:val="clear" w:pos="708"/>
                <w:tab w:val="left" w:pos="540" w:leader="none"/>
              </w:tabs>
              <w:spacing w:lineRule="auto" w:line="240" w:before="0" w:after="0"/>
              <w:ind w:hanging="360" w:left="373" w:right="1922"/>
              <w:contextualSpacing/>
              <w:rPr/>
            </w:pPr>
            <w:r>
              <w:rPr/>
              <w:t>Greene W.B, Ortopedia Nettera, wyd. Elsevier Urban &amp; Partner, 2007 i wznowienia.</w:t>
            </w:r>
          </w:p>
          <w:p>
            <w:pPr>
              <w:pStyle w:val="ListParagraph"/>
              <w:numPr>
                <w:ilvl w:val="0"/>
                <w:numId w:val="4"/>
              </w:numPr>
              <w:tabs>
                <w:tab w:val="clear" w:pos="708"/>
                <w:tab w:val="left" w:pos="540" w:leader="none"/>
              </w:tabs>
              <w:spacing w:lineRule="auto" w:line="240" w:before="0" w:after="0"/>
              <w:ind w:hanging="360" w:left="373" w:right="1922"/>
              <w:contextualSpacing/>
              <w:rPr/>
            </w:pPr>
            <w:r>
              <w:rPr/>
              <w:t>McRae R., Kliniczne badanie ortopedyczne, wyd. PZWL, 2006 i wznowienia.</w:t>
            </w:r>
          </w:p>
          <w:p>
            <w:pPr>
              <w:pStyle w:val="ListParagraph"/>
              <w:numPr>
                <w:ilvl w:val="0"/>
                <w:numId w:val="4"/>
              </w:numPr>
              <w:tabs>
                <w:tab w:val="clear" w:pos="708"/>
                <w:tab w:val="left" w:pos="540" w:leader="none"/>
              </w:tabs>
              <w:spacing w:lineRule="auto" w:line="240" w:before="0" w:after="0"/>
              <w:ind w:hanging="360" w:left="373" w:right="1922"/>
              <w:contextualSpacing/>
              <w:rPr/>
            </w:pPr>
            <w:r>
              <w:rPr/>
              <w:t>Dziak A. , "Opatrunki unieruchamiające w ortopedii i traumatologii", wyd. PZWL, 1995 i wznowienia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before="0" w:after="160"/>
              <w:ind w:hanging="360" w:left="373"/>
              <w:contextualSpacing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Napiontek M.: Stopa i staw skokowo-goleniowy w praktyce ortopedycznej. Medipage. Warszawa 2018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character" w:styleId="Wyrnienieuser">
    <w:name w:val="Wyróżnienie (user)"/>
    <w:basedOn w:val="DefaultParagraphFont"/>
    <w:uiPriority w:val="20"/>
    <w:qFormat/>
    <w:rsid w:val="004e6ccd"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Application>LibreOffice/25.8.5.2$Windows_X86_64 LibreOffice_project/9c8b85f387cc00a89945a79c9e6239f32e450ac2</Application>
  <AppVersion>15.0000</AppVersion>
  <DocSecurity>0</DocSecurity>
  <Pages>4</Pages>
  <Words>1333</Words>
  <Characters>9402</Characters>
  <CharactersWithSpaces>10553</CharactersWithSpaces>
  <Paragraphs>199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2026-04-22T19:56:25Z</dcterms:modified>
  <cp:revision>430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